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21" w:rsidRDefault="008B4C21">
      <w:pPr>
        <w:rPr>
          <w:rFonts w:ascii="Times New Roman" w:hAnsi="Times New Roman" w:cs="Times New Roman"/>
          <w:b/>
        </w:rPr>
      </w:pPr>
      <w:r w:rsidRPr="008B4C21">
        <w:rPr>
          <w:rFonts w:ascii="Times New Roman" w:hAnsi="Times New Roman" w:cs="Times New Roman"/>
          <w:b/>
        </w:rPr>
        <w:t>Постановление Правительства Российской</w:t>
      </w:r>
      <w:r w:rsidRPr="008B4C21">
        <w:rPr>
          <w:rFonts w:ascii="Times New Roman" w:hAnsi="Times New Roman" w:cs="Times New Roman"/>
          <w:b/>
        </w:rPr>
        <w:t xml:space="preserve"> Федерации от 21.03.2023 № 438 «</w:t>
      </w:r>
      <w:r w:rsidRPr="008B4C21">
        <w:rPr>
          <w:rFonts w:ascii="Times New Roman" w:hAnsi="Times New Roman" w:cs="Times New Roman"/>
          <w:b/>
        </w:rPr>
        <w:t>О мерах по реализации Указа Президента Российской Федерации от 3 марта 2023 г. № 139</w:t>
      </w:r>
      <w:r w:rsidRPr="008B4C21">
        <w:rPr>
          <w:rFonts w:ascii="Times New Roman" w:hAnsi="Times New Roman" w:cs="Times New Roman"/>
          <w:b/>
        </w:rPr>
        <w:t>»</w:t>
      </w:r>
    </w:p>
    <w:p w:rsidR="008B4C21" w:rsidRPr="008B4C21" w:rsidRDefault="008B4C21">
      <w:pPr>
        <w:rPr>
          <w:rFonts w:ascii="Times New Roman" w:hAnsi="Times New Roman" w:cs="Times New Roman"/>
          <w:b/>
        </w:rPr>
      </w:pPr>
      <w:bookmarkStart w:id="0" w:name="_GoBack"/>
      <w:r w:rsidRPr="008B4C21">
        <w:rPr>
          <w:rFonts w:ascii="Times New Roman" w:hAnsi="Times New Roman" w:cs="Times New Roman"/>
        </w:rPr>
        <w:t>Утверждены Правила приостановления прав участников (акционеров) хозяйственных обществ, участвующих в выполнении государственного оборонного заказа, и полномочий их органов управления. Приостановление прав участников (акционеров) хозяйственных обществ и полномочий их органов управления осуществляется в целях оперативного и бесперебойного обеспечения исполнения государственной программы вооружения, государственного оборонного заказа, государственного мобилизационного задания, государственных программ Российской Федерации, федеральных целевых и специальных программ, государственных контрактов, заключаемых в целях обеспечения обороны страны и безопасности государства. Основанием для приостановления прав участников (акционеров) хозяйственного общества и полномочий его органов является нарушение таким хозяйственным обществом своих обязательств по государственному контракту (контракту), в том числе непринятие мер по обеспечению поставок продукции (выполнения работ, оказания услуг) по государственному оборонному заказу. Министерство промышленности и торговли Российской Федерации представляет на рассмотрение рабочей группы при коллегии Военно-промышленной комиссии Российской Федерации по вопросам деятельности хозяйственных обществ, участвующих в выполнении государственного оборонного заказа, в период действия военного положения мотивированное заявление с предложением о приостановлении прав участников (акционеров) хозяйственного общества и полномочий его органов управления и об определении управляющей организации.</w:t>
      </w:r>
      <w:bookmarkEnd w:id="0"/>
    </w:p>
    <w:sectPr w:rsidR="008B4C21" w:rsidRPr="008B4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BE"/>
    <w:rsid w:val="00234ABE"/>
    <w:rsid w:val="0033610D"/>
    <w:rsid w:val="008B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D3AD"/>
  <w15:chartTrackingRefBased/>
  <w15:docId w15:val="{2051FBCE-66E6-4172-B149-A5DAD868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2023-04-25T17:46:00Z</dcterms:created>
  <dcterms:modified xsi:type="dcterms:W3CDTF">2023-04-25T17:48:00Z</dcterms:modified>
</cp:coreProperties>
</file>